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Respect</w:t>
            </w:r>
            <w:r w:rsidDel="00000000" w:rsidR="00000000" w:rsidRPr="00000000">
              <w:rPr>
                <w:b w:val="1"/>
                <w:sz w:val="40"/>
                <w:szCs w:val="40"/>
                <w:rtl w:val="0"/>
              </w:rPr>
              <w:t xml:space="preserve"> in </w:t>
            </w:r>
            <w:r w:rsidDel="00000000" w:rsidR="00000000" w:rsidRPr="00000000">
              <w:rPr>
                <w:b w:val="1"/>
                <w:color w:val="ff0000"/>
                <w:sz w:val="40"/>
                <w:szCs w:val="40"/>
                <w:rtl w:val="0"/>
              </w:rPr>
              <w:t xml:space="preserve">Hallway</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Respect: </w:t>
            </w:r>
          </w:p>
          <w:p w:rsidR="00000000" w:rsidDel="00000000" w:rsidP="00000000" w:rsidRDefault="00000000" w:rsidRPr="00000000" w14:paraId="00000007">
            <w:pPr>
              <w:numPr>
                <w:ilvl w:val="0"/>
                <w:numId w:val="2"/>
              </w:numPr>
              <w:ind w:left="720" w:hanging="360"/>
              <w:rPr>
                <w:sz w:val="28"/>
                <w:szCs w:val="28"/>
              </w:rPr>
            </w:pPr>
            <w:r w:rsidDel="00000000" w:rsidR="00000000" w:rsidRPr="00000000">
              <w:rPr>
                <w:sz w:val="28"/>
                <w:szCs w:val="28"/>
                <w:rtl w:val="0"/>
              </w:rPr>
              <w:t xml:space="preserve">Hold doors for others</w:t>
            </w:r>
          </w:p>
          <w:p w:rsidR="00000000" w:rsidDel="00000000" w:rsidP="00000000" w:rsidRDefault="00000000" w:rsidRPr="00000000" w14:paraId="00000008">
            <w:pPr>
              <w:numPr>
                <w:ilvl w:val="0"/>
                <w:numId w:val="2"/>
              </w:numPr>
              <w:ind w:left="720" w:hanging="360"/>
              <w:rPr>
                <w:sz w:val="28"/>
                <w:szCs w:val="28"/>
              </w:rPr>
            </w:pPr>
            <w:bookmarkStart w:colFirst="0" w:colLast="0" w:name="_30j0zll" w:id="1"/>
            <w:bookmarkEnd w:id="1"/>
            <w:r w:rsidDel="00000000" w:rsidR="00000000" w:rsidRPr="00000000">
              <w:rPr>
                <w:sz w:val="28"/>
                <w:szCs w:val="28"/>
                <w:rtl w:val="0"/>
              </w:rPr>
              <w:t xml:space="preserve">Silent greetings</w:t>
            </w:r>
          </w:p>
        </w:tc>
      </w:tr>
      <w:tr>
        <w:trPr>
          <w:cantSplit w:val="0"/>
          <w:tblHeader w:val="0"/>
        </w:trPr>
        <w:tc>
          <w:tcPr>
            <w:gridSpan w:val="2"/>
            <w:shd w:fill="e6e6e6" w:val="clear"/>
          </w:tcPr>
          <w:p w:rsidR="00000000" w:rsidDel="00000000" w:rsidP="00000000" w:rsidRDefault="00000000" w:rsidRPr="00000000" w14:paraId="0000000A">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C">
            <w:pPr>
              <w:rPr/>
            </w:pPr>
            <w:r w:rsidDel="00000000" w:rsidR="00000000" w:rsidRPr="00000000">
              <w:rPr>
                <w:rtl w:val="0"/>
              </w:rPr>
              <w:t xml:space="preserve">It is important to respect your peers and adults in school to make everyone feel welcome.. By holding doors for others and silently greeting them, you acknowledge the other person in a positive way and ensuring that nobody will be disturbed. </w:t>
            </w:r>
          </w:p>
        </w:tc>
      </w:tr>
      <w:tr>
        <w:trPr>
          <w:cantSplit w:val="0"/>
          <w:tblHeader w:val="0"/>
        </w:trPr>
        <w:tc>
          <w:tcPr>
            <w:gridSpan w:val="2"/>
            <w:shd w:fill="e6e6e6" w:val="clear"/>
          </w:tcPr>
          <w:p w:rsidR="00000000" w:rsidDel="00000000" w:rsidP="00000000" w:rsidRDefault="00000000" w:rsidRPr="00000000" w14:paraId="0000000E">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0F">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1">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2">
            <w:pPr>
              <w:jc w:val="center"/>
              <w:rPr/>
            </w:pPr>
            <w:r w:rsidDel="00000000" w:rsidR="00000000" w:rsidRPr="00000000">
              <w:rPr>
                <w:rtl w:val="0"/>
              </w:rPr>
              <w:t xml:space="preserve">Non-examples</w:t>
            </w:r>
          </w:p>
        </w:tc>
      </w:tr>
      <w:tr>
        <w:trPr>
          <w:cantSplit w:val="0"/>
          <w:trHeight w:val="1305" w:hRule="atLeast"/>
          <w:tblHeader w:val="0"/>
        </w:trPr>
        <w:tc>
          <w:tcPr>
            <w:tcBorders>
              <w:bottom w:color="000000" w:space="0" w:sz="4" w:val="single"/>
            </w:tcBorders>
          </w:tcPr>
          <w:p w:rsidR="00000000" w:rsidDel="00000000" w:rsidP="00000000" w:rsidRDefault="00000000" w:rsidRPr="00000000" w14:paraId="00000013">
            <w:pPr>
              <w:numPr>
                <w:ilvl w:val="0"/>
                <w:numId w:val="3"/>
              </w:numPr>
              <w:tabs>
                <w:tab w:val="left" w:leader="none" w:pos="3180"/>
              </w:tabs>
              <w:ind w:left="360" w:hanging="360"/>
              <w:rPr/>
            </w:pPr>
            <w:r w:rsidDel="00000000" w:rsidR="00000000" w:rsidRPr="00000000">
              <w:rPr>
                <w:rtl w:val="0"/>
              </w:rPr>
              <w:t xml:space="preserve">Holding the door open when entering, exiting the school or classroom(s).</w:t>
            </w:r>
          </w:p>
          <w:p w:rsidR="00000000" w:rsidDel="00000000" w:rsidP="00000000" w:rsidRDefault="00000000" w:rsidRPr="00000000" w14:paraId="00000014">
            <w:pPr>
              <w:numPr>
                <w:ilvl w:val="0"/>
                <w:numId w:val="3"/>
              </w:numPr>
              <w:tabs>
                <w:tab w:val="left" w:leader="none" w:pos="3180"/>
              </w:tabs>
              <w:ind w:left="360" w:hanging="360"/>
              <w:rPr>
                <w:u w:val="none"/>
              </w:rPr>
            </w:pPr>
            <w:r w:rsidDel="00000000" w:rsidR="00000000" w:rsidRPr="00000000">
              <w:rPr>
                <w:rtl w:val="0"/>
              </w:rPr>
              <w:t xml:space="preserve">Waving or smiling at another student across the hall</w:t>
            </w:r>
          </w:p>
          <w:p w:rsidR="00000000" w:rsidDel="00000000" w:rsidP="00000000" w:rsidRDefault="00000000" w:rsidRPr="00000000" w14:paraId="00000015">
            <w:pPr>
              <w:tabs>
                <w:tab w:val="left" w:leader="none" w:pos="3180"/>
              </w:tabs>
              <w:ind w:left="0"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6">
            <w:pPr>
              <w:numPr>
                <w:ilvl w:val="0"/>
                <w:numId w:val="3"/>
              </w:numPr>
              <w:ind w:left="360" w:hanging="360"/>
              <w:rPr/>
            </w:pPr>
            <w:r w:rsidDel="00000000" w:rsidR="00000000" w:rsidRPr="00000000">
              <w:rPr>
                <w:rtl w:val="0"/>
              </w:rPr>
              <w:t xml:space="preserve">Letting the door shut behind you when there are people behind you going the same way</w:t>
            </w:r>
          </w:p>
          <w:p w:rsidR="00000000" w:rsidDel="00000000" w:rsidP="00000000" w:rsidRDefault="00000000" w:rsidRPr="00000000" w14:paraId="00000017">
            <w:pPr>
              <w:numPr>
                <w:ilvl w:val="0"/>
                <w:numId w:val="3"/>
              </w:numPr>
              <w:ind w:left="360" w:hanging="360"/>
              <w:rPr>
                <w:u w:val="none"/>
              </w:rPr>
            </w:pPr>
            <w:r w:rsidDel="00000000" w:rsidR="00000000" w:rsidRPr="00000000">
              <w:rPr>
                <w:rtl w:val="0"/>
              </w:rPr>
              <w:t xml:space="preserve">Shouting greeting across the hall</w:t>
            </w:r>
          </w:p>
          <w:p w:rsidR="00000000" w:rsidDel="00000000" w:rsidP="00000000" w:rsidRDefault="00000000" w:rsidRPr="00000000" w14:paraId="00000018">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1C">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1E">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respectful and disrespectful behaviors.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Scenario A: Mercedes sees her friends at the end of the hall. She rushes into the building, letting the door close behind her right into the face of another kid. Her friends haven’t seen her yet, so Mercedes is shouting:”Hi! Wait up!” Did Mercedes’ behavior show respect? Was there anything she could have changed?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Scenario B: Jason is excited to be the line leader this week. When he sees his little brother in the hall, he waves at him and gives him a big smile. The class is going to the library, so when they get there, Jason is opening the door and stands behind it to keep it open for his classmates to enter quickly and quietly. Was Jason respectful to hallway rules?</w:t>
            </w:r>
          </w:p>
        </w:tc>
      </w:tr>
      <w:tr>
        <w:trPr>
          <w:cantSplit w:val="0"/>
          <w:trHeight w:val="1265.859375" w:hRule="atLeast"/>
          <w:tblHeader w:val="0"/>
        </w:trPr>
        <w:tc>
          <w:tcPr>
            <w:gridSpan w:val="2"/>
            <w:tcBorders>
              <w:bottom w:color="000000" w:space="0" w:sz="4" w:val="single"/>
            </w:tcBorders>
          </w:tcPr>
          <w:p w:rsidR="00000000" w:rsidDel="00000000" w:rsidP="00000000" w:rsidRDefault="00000000" w:rsidRPr="00000000" w14:paraId="00000024">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respectful behavior for their scenario. Teacher(s) and other students will provide feedback to peer groups.</w:t>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6">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8">
            <w:pPr>
              <w:numPr>
                <w:ilvl w:val="0"/>
                <w:numId w:val="4"/>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RESPECT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29">
            <w:pPr>
              <w:numPr>
                <w:ilvl w:val="0"/>
                <w:numId w:val="4"/>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disrespectful behavior).</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tabs>
          <w:tab w:val="center" w:leader="none" w:pos="4320"/>
          <w:tab w:val="right" w:leader="none" w:pos="8640"/>
        </w:tabs>
        <w:rPr/>
      </w:pPr>
      <w:r w:rsidDel="00000000" w:rsidR="00000000" w:rsidRPr="00000000">
        <w:rPr>
          <w:rtl w:val="0"/>
        </w:rPr>
        <w:t xml:space="preserve">                                                      </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2">
    <w:pPr>
      <w:rPr>
        <w:rFonts w:ascii="Covered By Your Grace" w:cs="Covered By Your Grace" w:eastAsia="Covered By Your Grace" w:hAnsi="Covered By Your Grace"/>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